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BF5FDC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9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C55C42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45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EB1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EB14F8">
              <w:rPr>
                <w:rFonts w:ascii="Times New Roman" w:eastAsia="Calibri" w:hAnsi="Times New Roman" w:cs="Times New Roman"/>
                <w:sz w:val="24"/>
                <w:szCs w:val="24"/>
              </w:rPr>
              <w:t>3 606 711,8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EB14F8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7 817,0</w:t>
            </w:r>
          </w:p>
        </w:tc>
        <w:tc>
          <w:tcPr>
            <w:tcW w:w="733" w:type="pct"/>
          </w:tcPr>
          <w:p w:rsidR="00606B0B" w:rsidRPr="002B2D8D" w:rsidRDefault="003654F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952,9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49 150,9</w:t>
            </w:r>
          </w:p>
        </w:tc>
        <w:tc>
          <w:tcPr>
            <w:tcW w:w="615" w:type="pct"/>
          </w:tcPr>
          <w:p w:rsidR="00606B0B" w:rsidRPr="002B2D8D" w:rsidRDefault="003654F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57 920,8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EB14F8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107 823,3</w:t>
            </w:r>
          </w:p>
        </w:tc>
        <w:tc>
          <w:tcPr>
            <w:tcW w:w="733" w:type="pct"/>
          </w:tcPr>
          <w:p w:rsidR="00606B0B" w:rsidRPr="002B2D8D" w:rsidRDefault="003654FB" w:rsidP="009A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106 011,7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3654FB" w:rsidP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2 883 376,8</w:t>
            </w:r>
          </w:p>
        </w:tc>
        <w:tc>
          <w:tcPr>
            <w:tcW w:w="615" w:type="pct"/>
          </w:tcPr>
          <w:p w:rsidR="00606B0B" w:rsidRPr="002B2D8D" w:rsidRDefault="003654FB" w:rsidP="0035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3 606 711,8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75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75443B">
              <w:rPr>
                <w:rFonts w:ascii="Times New Roman" w:hAnsi="Times New Roman" w:cs="Times New Roman"/>
                <w:sz w:val="24"/>
                <w:szCs w:val="24"/>
              </w:rPr>
              <w:t>2 965 879,2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952,9</w:t>
            </w:r>
          </w:p>
        </w:tc>
        <w:tc>
          <w:tcPr>
            <w:tcW w:w="1559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49 150,9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51 303,8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75443B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57 962,7</w:t>
            </w:r>
          </w:p>
        </w:tc>
        <w:tc>
          <w:tcPr>
            <w:tcW w:w="1559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2 883 376,8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2 965 879,2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0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0A008E">
              <w:rPr>
                <w:rFonts w:ascii="Times New Roman" w:hAnsi="Times New Roman" w:cs="Times New Roman"/>
                <w:sz w:val="24"/>
                <w:szCs w:val="24"/>
              </w:rPr>
              <w:t>640 832,6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6 617,0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6 617,0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83 283,6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640 832,6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1 481,80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1 260,1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57 920,8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7 817,0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51 303,8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51 303,8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699</w:t>
            </w:r>
            <w:r w:rsidR="00C053A0"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FD1E0D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FD1E0D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C40FF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3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50 403,8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50 403,8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3057B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699</w:t>
            </w:r>
            <w:r w:rsidR="005E4FB4"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50 403,8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50 403,8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73057B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49 150,9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FD1E0D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FD1E0D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B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91A70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F93D39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F93D39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2C6C22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2C6C22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участка, кв.м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чество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Целлюлозная,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237B12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1 260,10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237B12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1 260,10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237B12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1 260,10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237B12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245</w:t>
            </w:r>
          </w:p>
        </w:tc>
        <w:tc>
          <w:tcPr>
            <w:tcW w:w="2693" w:type="dxa"/>
            <w:hideMark/>
          </w:tcPr>
          <w:p w:rsidR="00A3057A" w:rsidRPr="00A3057A" w:rsidRDefault="00237B12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1 260,1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признании дома аварийным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66 (все помещения кроме кв. 1 и </w:t>
            </w: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Суфтина,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Наб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Шкулева,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Вологодская,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Бергавинова,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Михаила Новова,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Прокашева,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Дежневцев,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Пирсовая,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Сурповская,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D6CBC" w:rsidRPr="00583F14" w:rsidRDefault="00FD6CBC" w:rsidP="00583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67" w:rsidRDefault="000F2D67">
      <w:pPr>
        <w:spacing w:after="0" w:line="240" w:lineRule="auto"/>
      </w:pPr>
      <w:r>
        <w:separator/>
      </w:r>
    </w:p>
  </w:endnote>
  <w:endnote w:type="continuationSeparator" w:id="0">
    <w:p w:rsidR="000F2D67" w:rsidRDefault="000F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67" w:rsidRDefault="000F2D67">
      <w:pPr>
        <w:spacing w:after="0" w:line="240" w:lineRule="auto"/>
      </w:pPr>
      <w:r>
        <w:separator/>
      </w:r>
    </w:p>
  </w:footnote>
  <w:footnote w:type="continuationSeparator" w:id="0">
    <w:p w:rsidR="000F2D67" w:rsidRDefault="000F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3B5393" w:rsidRDefault="003B5393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B53C78">
          <w:rPr>
            <w:rFonts w:ascii="Times New Roman" w:hAnsi="Times New Roman" w:cs="Times New Roman"/>
            <w:noProof/>
            <w:sz w:val="28"/>
          </w:rPr>
          <w:t>8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B5393" w:rsidRDefault="003B53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93" w:rsidRDefault="003B5393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B5393" w:rsidRDefault="003B539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93" w:rsidRPr="00E1581F" w:rsidRDefault="003B5393">
    <w:pPr>
      <w:pStyle w:val="a7"/>
      <w:jc w:val="center"/>
      <w:rPr>
        <w:rFonts w:ascii="Times New Roman" w:hAnsi="Times New Roman" w:cs="Times New Roman"/>
        <w:sz w:val="24"/>
      </w:rPr>
    </w:pPr>
  </w:p>
  <w:p w:rsidR="003B5393" w:rsidRPr="002725BE" w:rsidRDefault="003B5393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3B5393" w:rsidRDefault="003B5393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B53C78">
          <w:rPr>
            <w:rFonts w:ascii="Times New Roman" w:hAnsi="Times New Roman" w:cs="Times New Roman"/>
            <w:noProof/>
            <w:sz w:val="24"/>
          </w:rPr>
          <w:t>8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B5393" w:rsidRPr="00DC4314" w:rsidRDefault="003B5393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D67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3522"/>
    <w:rsid w:val="00495650"/>
    <w:rsid w:val="00497F37"/>
    <w:rsid w:val="004A20BF"/>
    <w:rsid w:val="004A329E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AFD"/>
    <w:rsid w:val="00565B0E"/>
    <w:rsid w:val="005663B7"/>
    <w:rsid w:val="005675DA"/>
    <w:rsid w:val="00570A66"/>
    <w:rsid w:val="00571AD5"/>
    <w:rsid w:val="00571F6A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7295"/>
    <w:rsid w:val="005F2013"/>
    <w:rsid w:val="005F542A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2053"/>
    <w:rsid w:val="008C4FCA"/>
    <w:rsid w:val="008C5FEF"/>
    <w:rsid w:val="008D0939"/>
    <w:rsid w:val="008D0BBB"/>
    <w:rsid w:val="008D37E5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3C78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99"/>
    <w:rsid w:val="00C24848"/>
    <w:rsid w:val="00C24D2A"/>
    <w:rsid w:val="00C25BD5"/>
    <w:rsid w:val="00C26EC5"/>
    <w:rsid w:val="00C275CB"/>
    <w:rsid w:val="00C322F0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C63"/>
    <w:rsid w:val="00F61309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A942-E9E1-4675-8579-682F7DA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13880</Words>
  <Characters>79119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2024-01-29T08:27:00Z</dcterms:created>
  <dcterms:modified xsi:type="dcterms:W3CDTF">2024-01-29T08:27:00Z</dcterms:modified>
</cp:coreProperties>
</file>